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20"/>
        <w:ind w:firstLine="7980"/>
        <w:jc w:val="left"/>
        <w:rPr>
          <w:rFonts w:ascii="ＭＳ 明朝" w:hAnsi="ＭＳ 明朝" w:eastAsia="ＭＳ 明朝"/>
          <w:sz w:val="21"/>
          <w:szCs w:val="21"/>
        </w:rPr>
      </w:pPr>
      <w:bookmarkStart w:id="0" w:name="_GoBack"/>
      <w:bookmarkStart w:id="1" w:name="_GoBack"/>
      <w:bookmarkEnd w:id="1"/>
      <w:r>
        <w:rPr>
          <w:rFonts w:eastAsia="ＭＳ 明朝" w:ascii="ＭＳ 明朝" w:hAnsi="ＭＳ 明朝"/>
          <w:sz w:val="21"/>
          <w:szCs w:val="21"/>
        </w:rPr>
        <mc:AlternateContent>
          <mc:Choice Requires="wps">
            <w:drawing>
              <wp:anchor behindDoc="0" distT="0" distB="0" distL="114300" distR="114300" simplePos="0" locked="0" layoutInCell="1" allowOverlap="1" relativeHeight="2" wp14:anchorId="012F9C27">
                <wp:simplePos x="0" y="0"/>
                <wp:positionH relativeFrom="column">
                  <wp:posOffset>4709795</wp:posOffset>
                </wp:positionH>
                <wp:positionV relativeFrom="paragraph">
                  <wp:posOffset>154305</wp:posOffset>
                </wp:positionV>
                <wp:extent cx="1210310" cy="286385"/>
                <wp:effectExtent l="0" t="0" r="28575" b="19050"/>
                <wp:wrapNone/>
                <wp:docPr id="1" name="テキスト ボックス 3"/>
                <a:graphic xmlns:a="http://schemas.openxmlformats.org/drawingml/2006/main">
                  <a:graphicData uri="http://schemas.microsoft.com/office/word/2010/wordprocessingShape">
                    <wps:wsp>
                      <wps:cNvSpPr/>
                      <wps:spPr>
                        <a:xfrm>
                          <a:off x="0" y="0"/>
                          <a:ext cx="1209600" cy="285840"/>
                        </a:xfrm>
                        <a:prstGeom prst="rect">
                          <a:avLst/>
                        </a:prstGeom>
                        <a:solidFill>
                          <a:srgbClr val="ffffff"/>
                        </a:solidFill>
                        <a:ln w="19080">
                          <a:solidFill>
                            <a:srgbClr val="000000"/>
                          </a:solidFill>
                          <a:miter/>
                        </a:ln>
                      </wps:spPr>
                      <wps:style>
                        <a:lnRef idx="0"/>
                        <a:fillRef idx="0"/>
                        <a:effectRef idx="0"/>
                        <a:fontRef idx="minor"/>
                      </wps:style>
                      <wps:txbx>
                        <w:txbxContent>
                          <w:p>
                            <w:pPr>
                              <w:pStyle w:val="Style25"/>
                              <w:jc w:val="center"/>
                              <w:rPr>
                                <w:color w:val="auto"/>
                              </w:rPr>
                            </w:pPr>
                            <w:r>
                              <w:rPr>
                                <w:rFonts w:ascii="ＭＳ ゴシック" w:hAnsi="ＭＳ ゴシック" w:eastAsia="ＭＳ ゴシック"/>
                                <w:b/>
                                <w:color w:val="auto"/>
                                <w:szCs w:val="28"/>
                              </w:rPr>
                              <w:t>資料６－１</w:t>
                            </w:r>
                          </w:p>
                        </w:txbxContent>
                      </wps:txbx>
                      <wps:bodyPr lIns="74160" rIns="74160" tIns="9000" bIns="9000">
                        <a:noAutofit/>
                      </wps:bodyPr>
                    </wps:wsp>
                  </a:graphicData>
                </a:graphic>
              </wp:anchor>
            </w:drawing>
          </mc:Choice>
          <mc:Fallback>
            <w:pict>
              <v:rect id="shape_0" ID="テキスト ボックス 3" fillcolor="white" stroked="t" style="position:absolute;margin-left:370.85pt;margin-top:12.15pt;width:95.2pt;height:22.45pt" wp14:anchorId="012F9C27">
                <w10:wrap type="square"/>
                <v:fill type="solid" color2="black" o:detectmouseclick="t"/>
                <v:stroke color="black" weight="19080" joinstyle="miter" endcap="flat"/>
                <v:textbox>
                  <w:txbxContent>
                    <w:p>
                      <w:pPr>
                        <w:pStyle w:val="Style25"/>
                        <w:jc w:val="center"/>
                        <w:rPr>
                          <w:color w:val="auto"/>
                        </w:rPr>
                      </w:pPr>
                      <w:r>
                        <w:rPr>
                          <w:rFonts w:ascii="ＭＳ ゴシック" w:hAnsi="ＭＳ ゴシック" w:eastAsia="ＭＳ ゴシック"/>
                          <w:b/>
                          <w:color w:val="auto"/>
                          <w:szCs w:val="28"/>
                        </w:rPr>
                        <w:t>資料６－１</w:t>
                      </w:r>
                    </w:p>
                  </w:txbxContent>
                </v:textbox>
              </v:rect>
            </w:pict>
          </mc:Fallback>
        </mc:AlternateContent>
        <mc:AlternateContent>
          <mc:Choice Requires="wps">
            <w:drawing>
              <wp:anchor behindDoc="0" distT="0" distB="0" distL="114300" distR="114300" simplePos="0" locked="0" layoutInCell="1" allowOverlap="1" relativeHeight="3" wp14:anchorId="489F52CE">
                <wp:simplePos x="0" y="0"/>
                <wp:positionH relativeFrom="column">
                  <wp:posOffset>1947545</wp:posOffset>
                </wp:positionH>
                <wp:positionV relativeFrom="paragraph">
                  <wp:posOffset>135255</wp:posOffset>
                </wp:positionV>
                <wp:extent cx="915035" cy="476885"/>
                <wp:effectExtent l="0" t="0" r="0" b="0"/>
                <wp:wrapNone/>
                <wp:docPr id="3" name="テキスト ボックス 2"/>
                <a:graphic xmlns:a="http://schemas.openxmlformats.org/drawingml/2006/main">
                  <a:graphicData uri="http://schemas.microsoft.com/office/word/2010/wordprocessingShape">
                    <wps:wsp>
                      <wps:cNvSpPr/>
                      <wps:spPr>
                        <a:xfrm>
                          <a:off x="0" y="0"/>
                          <a:ext cx="914400" cy="4762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Style25"/>
                              <w:rPr>
                                <w:color w:val="000000"/>
                              </w:rPr>
                            </w:pPr>
                            <w:r>
                              <w:rPr>
                                <w:color w:val="000000"/>
                                <w:sz w:val="32"/>
                                <w:szCs w:val="32"/>
                              </w:rPr>
                              <w:t>【</w:t>
                            </w:r>
                            <w:r>
                              <w:rPr>
                                <w:b/>
                                <w:color w:val="000000"/>
                                <w:sz w:val="32"/>
                                <w:szCs w:val="32"/>
                              </w:rPr>
                              <w:t>議長提案</w:t>
                            </w:r>
                            <w:r>
                              <w:rPr>
                                <w:color w:val="000000"/>
                                <w:sz w:val="32"/>
                                <w:szCs w:val="32"/>
                              </w:rPr>
                              <w:t>】</w:t>
                            </w:r>
                          </w:p>
                        </w:txbxContent>
                      </wps:txbx>
                      <wps:bodyPr>
                        <a:prstTxWarp prst="textNoShape"/>
                        <a:noAutofit/>
                      </wps:bodyPr>
                    </wps:wsp>
                  </a:graphicData>
                </a:graphic>
              </wp:anchor>
            </w:drawing>
          </mc:Choice>
          <mc:Fallback>
            <w:pict>
              <v:rect id="shape_0" ID="テキスト ボックス 2" fillcolor="white" stroked="f" style="position:absolute;margin-left:153.35pt;margin-top:10.65pt;width:71.95pt;height:37.45pt" wp14:anchorId="489F52CE">
                <w10:wrap type="square"/>
                <v:fill type="solid" color2="black" o:detectmouseclick="t"/>
                <v:stroke color="#3465a4" weight="6480" joinstyle="round" endcap="flat"/>
                <v:textbox>
                  <w:txbxContent>
                    <w:p>
                      <w:pPr>
                        <w:pStyle w:val="Style25"/>
                        <w:rPr>
                          <w:color w:val="000000"/>
                        </w:rPr>
                      </w:pPr>
                      <w:r>
                        <w:rPr>
                          <w:color w:val="000000"/>
                          <w:sz w:val="32"/>
                          <w:szCs w:val="32"/>
                        </w:rPr>
                        <w:t>【</w:t>
                      </w:r>
                      <w:r>
                        <w:rPr>
                          <w:b/>
                          <w:color w:val="000000"/>
                          <w:sz w:val="32"/>
                          <w:szCs w:val="32"/>
                        </w:rPr>
                        <w:t>議長提案</w:t>
                      </w:r>
                      <w:r>
                        <w:rPr>
                          <w:color w:val="000000"/>
                          <w:sz w:val="32"/>
                          <w:szCs w:val="32"/>
                        </w:rPr>
                        <w:t>】</w:t>
                      </w:r>
                    </w:p>
                  </w:txbxContent>
                </v:textbox>
              </v:rect>
            </w:pict>
          </mc:Fallback>
        </mc:AlternateContent>
      </w:r>
    </w:p>
    <w:p>
      <w:pPr>
        <w:pStyle w:val="Normal"/>
        <w:spacing w:lineRule="exact" w:line="420"/>
        <w:ind w:firstLine="7980"/>
        <w:jc w:val="left"/>
        <w:rPr>
          <w:rFonts w:ascii="ＭＳ 明朝" w:hAnsi="ＭＳ 明朝" w:eastAsia="ＭＳ 明朝"/>
          <w:sz w:val="21"/>
          <w:szCs w:val="21"/>
        </w:rPr>
      </w:pPr>
      <w:r>
        <w:rPr>
          <w:rFonts w:eastAsia="ＭＳ 明朝" w:ascii="ＭＳ 明朝" w:hAnsi="ＭＳ 明朝"/>
          <w:sz w:val="21"/>
          <w:szCs w:val="21"/>
        </w:rPr>
      </w:r>
    </w:p>
    <w:p>
      <w:pPr>
        <w:pStyle w:val="Normal"/>
        <w:spacing w:lineRule="exact" w:line="420"/>
        <w:ind w:firstLine="7980"/>
        <w:jc w:val="left"/>
        <w:rPr>
          <w:rFonts w:ascii="ＭＳ 明朝" w:hAnsi="ＭＳ 明朝" w:eastAsia="ＭＳ 明朝"/>
          <w:sz w:val="21"/>
          <w:szCs w:val="21"/>
        </w:rPr>
      </w:pPr>
      <w:r>
        <w:rPr>
          <w:rFonts w:eastAsia="ＭＳ 明朝" w:ascii="ＭＳ 明朝" w:hAnsi="ＭＳ 明朝"/>
          <w:sz w:val="21"/>
          <w:szCs w:val="21"/>
        </w:rPr>
      </w:r>
    </w:p>
    <w:p>
      <w:pPr>
        <w:pStyle w:val="Normal"/>
        <w:spacing w:lineRule="exact" w:line="420"/>
        <w:jc w:val="center"/>
        <w:rPr>
          <w:rFonts w:ascii="ＭＳ 明朝" w:hAnsi="ＭＳ 明朝" w:eastAsia="ＭＳ 明朝"/>
          <w:sz w:val="21"/>
          <w:szCs w:val="21"/>
        </w:rPr>
      </w:pPr>
      <w:r>
        <w:rPr>
          <w:rFonts w:ascii="ＭＳ 明朝" w:hAnsi="ＭＳ 明朝"/>
          <w:sz w:val="21"/>
          <w:szCs w:val="21"/>
        </w:rPr>
        <w:t>自主避難者に対する住宅支援についての意見書（案）</w:t>
      </w:r>
    </w:p>
    <w:p>
      <w:pPr>
        <w:pStyle w:val="Normal"/>
        <w:spacing w:lineRule="exact" w:line="420"/>
        <w:rPr>
          <w:rFonts w:ascii="ＭＳ 明朝" w:hAnsi="ＭＳ 明朝" w:eastAsia="ＭＳ 明朝"/>
          <w:sz w:val="21"/>
          <w:szCs w:val="21"/>
        </w:rPr>
      </w:pPr>
      <w:r>
        <w:rPr>
          <w:rFonts w:eastAsia="ＭＳ 明朝" w:ascii="ＭＳ 明朝" w:hAnsi="ＭＳ 明朝"/>
          <w:sz w:val="21"/>
          <w:szCs w:val="21"/>
        </w:rPr>
      </w:r>
    </w:p>
    <w:p>
      <w:pPr>
        <w:pStyle w:val="Normal"/>
        <w:spacing w:lineRule="exact" w:line="420"/>
        <w:ind w:firstLine="210"/>
        <w:rPr>
          <w:rFonts w:ascii="ＭＳ 明朝" w:hAnsi="ＭＳ 明朝" w:eastAsia="ＭＳ 明朝"/>
          <w:sz w:val="21"/>
          <w:szCs w:val="21"/>
        </w:rPr>
      </w:pPr>
      <w:r>
        <w:rPr>
          <w:rFonts w:ascii="ＭＳ 明朝" w:hAnsi="ＭＳ 明朝"/>
          <w:sz w:val="21"/>
          <w:szCs w:val="21"/>
        </w:rPr>
        <w:t>東日本大震災に伴う福島原発事故から５年が経過した今も、多くの被災者が避難生活を余儀なくされている。しかし、避難者の生活の基盤となっている住宅借り上げ制度は今年度末で終えようとしており、来年度からの福島県による支援策についても、対象範囲や期間、補助額等は限定的で、住宅支援の継続・拡充を希望する多くの避難者のニーズに充分に応えるものとはなっていない。</w:t>
      </w:r>
    </w:p>
    <w:p>
      <w:pPr>
        <w:pStyle w:val="Normal"/>
        <w:spacing w:lineRule="exact" w:line="420"/>
        <w:ind w:firstLine="210"/>
        <w:rPr>
          <w:rFonts w:ascii="ＭＳ 明朝" w:hAnsi="ＭＳ 明朝" w:eastAsia="ＭＳ 明朝"/>
          <w:sz w:val="21"/>
          <w:szCs w:val="21"/>
        </w:rPr>
      </w:pPr>
      <w:r>
        <w:rPr>
          <w:rFonts w:ascii="ＭＳ 明朝" w:hAnsi="ＭＳ 明朝"/>
          <w:sz w:val="21"/>
          <w:szCs w:val="21"/>
        </w:rPr>
        <w:t>平成</w:t>
      </w:r>
      <w:r>
        <w:rPr>
          <w:rFonts w:eastAsia="ＭＳ 明朝" w:ascii="ＭＳ 明朝" w:hAnsi="ＭＳ 明朝"/>
          <w:sz w:val="21"/>
          <w:szCs w:val="21"/>
        </w:rPr>
        <w:t>24</w:t>
      </w:r>
      <w:r>
        <w:rPr>
          <w:rFonts w:ascii="ＭＳ 明朝" w:hAnsi="ＭＳ 明朝"/>
          <w:sz w:val="21"/>
          <w:szCs w:val="21"/>
        </w:rPr>
        <w:t>年に制定された</w:t>
      </w:r>
      <w:r>
        <w:rPr>
          <w:rFonts w:ascii="ＭＳ 明朝" w:hAnsi="ＭＳ 明朝"/>
          <w:bCs/>
          <w:sz w:val="21"/>
          <w:szCs w:val="21"/>
        </w:rPr>
        <w:t>東京電力原子力事故により被災した子どもをはじめとする住民等の生活を守り支えるための被災者の生活支援等に関する施策の推進に関する法律</w:t>
      </w:r>
      <w:r>
        <w:rPr>
          <w:rFonts w:ascii="ＭＳ 明朝" w:hAnsi="ＭＳ 明朝"/>
          <w:sz w:val="21"/>
          <w:szCs w:val="21"/>
        </w:rPr>
        <w:t>（以下子ども・被災者支援法）は、被災者一人一人が「居住、他の地域への移動及び移動前の地域への帰還についての選択を自らの意思によって行うことができる」ように、「そのいずれを選択した場合であっても適切に支援」することをうたっている。避難者への住宅支援は、本来、この支援法に基づく抜本的な対策や新たな法制度の確立が必要である。</w:t>
      </w:r>
    </w:p>
    <w:p>
      <w:pPr>
        <w:pStyle w:val="Normal"/>
        <w:spacing w:lineRule="exact" w:line="420"/>
        <w:ind w:firstLine="210"/>
        <w:rPr>
          <w:rFonts w:ascii="ＭＳ 明朝" w:hAnsi="ＭＳ 明朝" w:eastAsia="ＭＳ 明朝"/>
          <w:dstrike/>
          <w:sz w:val="21"/>
          <w:szCs w:val="21"/>
        </w:rPr>
      </w:pPr>
      <w:r>
        <w:rPr>
          <w:rFonts w:ascii="ＭＳ 明朝" w:hAnsi="ＭＳ 明朝"/>
          <w:sz w:val="21"/>
          <w:szCs w:val="21"/>
        </w:rPr>
        <w:t>よって、本市議会は国と福島県、静岡県に対し、下記事項の実現に向け強く要望する。</w:t>
      </w:r>
    </w:p>
    <w:p>
      <w:pPr>
        <w:pStyle w:val="Normal"/>
        <w:spacing w:lineRule="exact" w:line="420"/>
        <w:rPr>
          <w:rFonts w:ascii="ＭＳ 明朝" w:hAnsi="ＭＳ 明朝" w:eastAsia="ＭＳ 明朝"/>
          <w:sz w:val="21"/>
          <w:szCs w:val="21"/>
        </w:rPr>
      </w:pPr>
      <w:r>
        <w:rPr>
          <w:rFonts w:eastAsia="ＭＳ 明朝" w:ascii="ＭＳ 明朝" w:hAnsi="ＭＳ 明朝"/>
          <w:sz w:val="21"/>
          <w:szCs w:val="21"/>
        </w:rPr>
      </w:r>
    </w:p>
    <w:p>
      <w:pPr>
        <w:pStyle w:val="NoteHeading"/>
        <w:rPr/>
      </w:pPr>
      <w:r>
        <w:rPr/>
        <w:t>記</w:t>
      </w:r>
    </w:p>
    <w:p>
      <w:pPr>
        <w:pStyle w:val="Normal"/>
        <w:rPr/>
      </w:pPr>
      <w:r>
        <w:rPr/>
      </w:r>
    </w:p>
    <w:p>
      <w:pPr>
        <w:pStyle w:val="Closing"/>
        <w:rPr/>
      </w:pPr>
      <w:r>
        <w:rPr/>
      </w:r>
    </w:p>
    <w:p>
      <w:pPr>
        <w:pStyle w:val="Normal"/>
        <w:spacing w:lineRule="exact" w:line="420"/>
        <w:ind w:left="210" w:hanging="210"/>
        <w:rPr>
          <w:rFonts w:ascii="ＭＳ 明朝" w:hAnsi="ＭＳ 明朝" w:eastAsia="ＭＳ 明朝"/>
          <w:sz w:val="21"/>
          <w:szCs w:val="21"/>
        </w:rPr>
      </w:pPr>
      <w:r>
        <w:rPr>
          <w:rFonts w:ascii="ＭＳ 明朝" w:hAnsi="ＭＳ 明朝"/>
          <w:sz w:val="21"/>
          <w:szCs w:val="21"/>
        </w:rPr>
        <w:t>１ 借上げ住宅提供の継続を望む多くの避難者の声を真摯に聞き、住宅支援策を継続・拡充させること。</w:t>
      </w:r>
    </w:p>
    <w:p>
      <w:pPr>
        <w:pStyle w:val="Normal"/>
        <w:spacing w:lineRule="exact" w:line="420"/>
        <w:ind w:left="210" w:hanging="210"/>
        <w:rPr>
          <w:rFonts w:ascii="ＭＳ 明朝" w:hAnsi="ＭＳ 明朝" w:eastAsia="ＭＳ 明朝"/>
          <w:sz w:val="21"/>
          <w:szCs w:val="21"/>
        </w:rPr>
      </w:pPr>
      <w:r>
        <w:rPr>
          <w:rFonts w:ascii="ＭＳ 明朝" w:hAnsi="ＭＳ 明朝"/>
          <w:sz w:val="21"/>
          <w:szCs w:val="21"/>
        </w:rPr>
        <w:t>２ 「住宅確保要配慮者に対する賃貸住宅の供給の促進に関する法律」の「住宅確保要配慮者」に原発事故避難者を位置づけ、空き家活用施策などを含め、住宅の提供促進を図ること。</w:t>
      </w:r>
    </w:p>
    <w:p>
      <w:pPr>
        <w:pStyle w:val="Normal"/>
        <w:spacing w:lineRule="exact" w:line="420"/>
        <w:ind w:left="210" w:hanging="210"/>
        <w:rPr>
          <w:rFonts w:ascii="ＭＳ 明朝" w:hAnsi="ＭＳ 明朝" w:eastAsia="ＭＳ 明朝"/>
          <w:sz w:val="21"/>
          <w:szCs w:val="21"/>
        </w:rPr>
      </w:pPr>
      <w:r>
        <w:rPr>
          <w:rFonts w:ascii="ＭＳ 明朝" w:hAnsi="ＭＳ 明朝"/>
          <w:sz w:val="21"/>
          <w:szCs w:val="21"/>
        </w:rPr>
        <w:t>３ 子ども・被災者支援法に基づき、抜本的、継続的な住宅支援が可能な新たな制度を確立すること。</w:t>
      </w:r>
    </w:p>
    <w:p>
      <w:pPr>
        <w:pStyle w:val="Normal"/>
        <w:spacing w:lineRule="exact" w:line="420"/>
        <w:rPr>
          <w:rFonts w:ascii="ＭＳ 明朝" w:hAnsi="ＭＳ 明朝" w:eastAsia="ＭＳ 明朝"/>
          <w:sz w:val="21"/>
          <w:szCs w:val="21"/>
        </w:rPr>
      </w:pPr>
      <w:r>
        <w:rPr>
          <w:rFonts w:eastAsia="ＭＳ 明朝" w:ascii="ＭＳ 明朝" w:hAnsi="ＭＳ 明朝"/>
          <w:sz w:val="21"/>
          <w:szCs w:val="21"/>
        </w:rPr>
      </w:r>
    </w:p>
    <w:p>
      <w:pPr>
        <w:pStyle w:val="Normal"/>
        <w:spacing w:lineRule="exact" w:line="420"/>
        <w:ind w:firstLine="210"/>
        <w:rPr>
          <w:rFonts w:ascii="ＭＳ 明朝" w:hAnsi="ＭＳ 明朝" w:eastAsia="ＭＳ 明朝"/>
          <w:sz w:val="21"/>
          <w:szCs w:val="21"/>
        </w:rPr>
      </w:pPr>
      <w:r>
        <w:rPr>
          <w:rFonts w:ascii="ＭＳ 明朝" w:hAnsi="ＭＳ 明朝"/>
          <w:sz w:val="21"/>
          <w:szCs w:val="21"/>
        </w:rPr>
        <w:t>以上、地方自治法第</w:t>
      </w:r>
      <w:r>
        <w:rPr>
          <w:rFonts w:eastAsia="ＭＳ 明朝" w:ascii="ＭＳ 明朝" w:hAnsi="ＭＳ 明朝"/>
          <w:sz w:val="21"/>
          <w:szCs w:val="21"/>
        </w:rPr>
        <w:t xml:space="preserve">99 </w:t>
      </w:r>
      <w:r>
        <w:rPr>
          <w:rFonts w:ascii="ＭＳ 明朝" w:hAnsi="ＭＳ 明朝"/>
          <w:sz w:val="21"/>
          <w:szCs w:val="21"/>
        </w:rPr>
        <w:t>条の規定により意見書を提出する。</w:t>
      </w:r>
    </w:p>
    <w:p>
      <w:pPr>
        <w:pStyle w:val="Normal"/>
        <w:spacing w:lineRule="exact" w:line="420"/>
        <w:rPr>
          <w:rFonts w:ascii="ＭＳ 明朝" w:hAnsi="ＭＳ 明朝" w:eastAsia="ＭＳ 明朝"/>
          <w:sz w:val="21"/>
          <w:szCs w:val="21"/>
        </w:rPr>
      </w:pPr>
      <w:r>
        <w:rPr>
          <w:rFonts w:eastAsia="ＭＳ 明朝" w:ascii="ＭＳ 明朝" w:hAnsi="ＭＳ 明朝"/>
          <w:sz w:val="21"/>
          <w:szCs w:val="21"/>
        </w:rPr>
      </w:r>
    </w:p>
    <w:p>
      <w:pPr>
        <w:pStyle w:val="Normal"/>
        <w:spacing w:lineRule="exact" w:line="420"/>
        <w:rPr>
          <w:rFonts w:ascii="ＭＳ 明朝" w:hAnsi="ＭＳ 明朝" w:eastAsia="ＭＳ 明朝"/>
          <w:sz w:val="21"/>
          <w:szCs w:val="21"/>
        </w:rPr>
      </w:pPr>
      <w:r>
        <w:rPr>
          <w:rFonts w:eastAsia="ＭＳ 明朝" w:ascii="ＭＳ 明朝" w:hAnsi="ＭＳ 明朝"/>
          <w:sz w:val="21"/>
          <w:szCs w:val="21"/>
        </w:rPr>
      </w:r>
    </w:p>
    <w:p>
      <w:pPr>
        <w:pStyle w:val="Normal"/>
        <w:spacing w:lineRule="exact" w:line="420"/>
        <w:ind w:firstLine="210"/>
        <w:rPr>
          <w:rFonts w:ascii="ＭＳ 明朝" w:hAnsi="ＭＳ 明朝" w:eastAsia="ＭＳ 明朝"/>
          <w:sz w:val="21"/>
          <w:szCs w:val="21"/>
        </w:rPr>
      </w:pPr>
      <w:r>
        <w:rPr>
          <w:rFonts w:ascii="ＭＳ 明朝" w:hAnsi="ＭＳ 明朝"/>
          <w:sz w:val="21"/>
          <w:szCs w:val="21"/>
        </w:rPr>
        <w:t>〔提出先　衆議院議長、参議院議長、内閣総理大臣、国土交通大臣、復興大臣、福島県知事、</w:t>
      </w:r>
    </w:p>
    <w:p>
      <w:pPr>
        <w:pStyle w:val="Normal"/>
        <w:spacing w:lineRule="exact" w:line="420"/>
        <w:ind w:firstLine="1260"/>
        <w:rPr/>
      </w:pPr>
      <w:r>
        <w:rPr>
          <w:rFonts w:ascii="ＭＳ 明朝" w:hAnsi="ＭＳ 明朝"/>
          <w:sz w:val="21"/>
          <w:szCs w:val="21"/>
        </w:rPr>
        <w:t>静岡県知事〕</w:t>
      </w:r>
    </w:p>
    <w:sectPr>
      <w:type w:val="nextPage"/>
      <w:pgSz w:w="12240" w:h="15840"/>
      <w:pgMar w:left="1418" w:right="1474" w:header="0" w:top="567" w:footer="0" w:bottom="340" w:gutter="0"/>
      <w:pgNumType w:fmt="decimal"/>
      <w:formProt w:val="false"/>
      <w:textDirection w:val="lrTb"/>
      <w:docGrid w:type="default" w:linePitch="286"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7b4a"/>
    <w:pPr>
      <w:widowControl w:val="false"/>
      <w:suppressAutoHyphens w:val="true"/>
      <w:bidi w:val="0"/>
      <w:jc w:val="both"/>
    </w:pPr>
    <w:rPr>
      <w:rFonts w:ascii="Century" w:hAnsi="Century" w:eastAsia="ＭＳ 明朝" w:cs="" w:asciiTheme="minorHAnsi" w:cstheme="minorBidi" w:eastAsiaTheme="minorEastAsia" w:hAnsiTheme="minorHAnsi"/>
      <w:color w:val="auto"/>
      <w:sz w:val="28"/>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1e387f"/>
    <w:rPr>
      <w:sz w:val="28"/>
    </w:rPr>
  </w:style>
  <w:style w:type="character" w:styleId="Style15" w:customStyle="1">
    <w:name w:val="フッター (文字)"/>
    <w:basedOn w:val="DefaultParagraphFont"/>
    <w:link w:val="a5"/>
    <w:uiPriority w:val="99"/>
    <w:qFormat/>
    <w:rsid w:val="001e387f"/>
    <w:rPr>
      <w:sz w:val="28"/>
    </w:rPr>
  </w:style>
  <w:style w:type="character" w:styleId="Style16" w:customStyle="1">
    <w:name w:val="記 (文字)"/>
    <w:basedOn w:val="DefaultParagraphFont"/>
    <w:link w:val="a7"/>
    <w:uiPriority w:val="99"/>
    <w:qFormat/>
    <w:rsid w:val="00797aae"/>
    <w:rPr>
      <w:rFonts w:ascii="ＭＳ 明朝" w:hAnsi="ＭＳ 明朝" w:eastAsia="ＭＳ 明朝"/>
      <w:szCs w:val="21"/>
    </w:rPr>
  </w:style>
  <w:style w:type="character" w:styleId="Style17" w:customStyle="1">
    <w:name w:val="結語 (文字)"/>
    <w:basedOn w:val="DefaultParagraphFont"/>
    <w:link w:val="a9"/>
    <w:uiPriority w:val="99"/>
    <w:qFormat/>
    <w:rsid w:val="00797aae"/>
    <w:rPr>
      <w:rFonts w:ascii="ＭＳ 明朝" w:hAnsi="ＭＳ 明朝" w:eastAsia="ＭＳ 明朝"/>
      <w:szCs w:val="21"/>
    </w:rPr>
  </w:style>
  <w:style w:type="paragraph" w:styleId="Style18">
    <w:name w:val="見出し"/>
    <w:basedOn w:val="Normal"/>
    <w:next w:val="Style19"/>
    <w:qFormat/>
    <w:pPr>
      <w:keepNext/>
      <w:spacing w:before="240" w:after="120"/>
    </w:pPr>
    <w:rPr>
      <w:rFonts w:ascii="Liberation Sans" w:hAnsi="Liberation Sans" w:eastAsia="ＭＳ Ｐゴシック" w:cs="Mangal"/>
      <w:sz w:val="28"/>
      <w:szCs w:val="28"/>
    </w:rPr>
  </w:style>
  <w:style w:type="paragraph" w:styleId="Style19">
    <w:name w:val="本文"/>
    <w:basedOn w:val="Normal"/>
    <w:pPr>
      <w:spacing w:lineRule="auto" w:line="288" w:before="0" w:after="140"/>
    </w:pPr>
    <w:rPr/>
  </w:style>
  <w:style w:type="paragraph" w:styleId="Style20">
    <w:name w:val="リスト"/>
    <w:basedOn w:val="Style19"/>
    <w:pPr/>
    <w:rPr>
      <w:rFonts w:cs="Mangal"/>
    </w:rPr>
  </w:style>
  <w:style w:type="paragraph" w:styleId="Style21">
    <w:name w:val="キャプション"/>
    <w:basedOn w:val="Normal"/>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ヘッダー"/>
    <w:basedOn w:val="Normal"/>
    <w:link w:val="a4"/>
    <w:uiPriority w:val="99"/>
    <w:unhideWhenUsed/>
    <w:rsid w:val="001e387f"/>
    <w:pPr>
      <w:tabs>
        <w:tab w:val="center" w:pos="4252" w:leader="none"/>
        <w:tab w:val="right" w:pos="8504" w:leader="none"/>
      </w:tabs>
    </w:pPr>
    <w:rPr/>
  </w:style>
  <w:style w:type="paragraph" w:styleId="Style24">
    <w:name w:val="フッター"/>
    <w:basedOn w:val="Normal"/>
    <w:link w:val="a6"/>
    <w:uiPriority w:val="99"/>
    <w:unhideWhenUsed/>
    <w:rsid w:val="001e387f"/>
    <w:pPr>
      <w:tabs>
        <w:tab w:val="center" w:pos="4252" w:leader="none"/>
        <w:tab w:val="right" w:pos="8504" w:leader="none"/>
      </w:tabs>
    </w:pPr>
    <w:rPr/>
  </w:style>
  <w:style w:type="paragraph" w:styleId="NoteHeading">
    <w:name w:val="Note Heading"/>
    <w:basedOn w:val="Normal"/>
    <w:link w:val="a8"/>
    <w:uiPriority w:val="99"/>
    <w:unhideWhenUsed/>
    <w:qFormat/>
    <w:rsid w:val="00797aae"/>
    <w:pPr>
      <w:jc w:val="center"/>
    </w:pPr>
    <w:rPr>
      <w:rFonts w:ascii="ＭＳ 明朝" w:hAnsi="ＭＳ 明朝" w:eastAsia="ＭＳ 明朝"/>
      <w:sz w:val="21"/>
      <w:szCs w:val="21"/>
    </w:rPr>
  </w:style>
  <w:style w:type="paragraph" w:styleId="Closing">
    <w:name w:val="Closing"/>
    <w:basedOn w:val="Normal"/>
    <w:link w:val="aa"/>
    <w:uiPriority w:val="99"/>
    <w:unhideWhenUsed/>
    <w:qFormat/>
    <w:rsid w:val="00797aae"/>
    <w:pPr>
      <w:jc w:val="right"/>
    </w:pPr>
    <w:rPr>
      <w:rFonts w:ascii="ＭＳ 明朝" w:hAnsi="ＭＳ 明朝" w:eastAsia="ＭＳ 明朝"/>
      <w:sz w:val="21"/>
      <w:szCs w:val="21"/>
    </w:rPr>
  </w:style>
  <w:style w:type="paragraph" w:styleId="Style25">
    <w:name w:val="枠の内容"/>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2016-06-27T10:15:00Z</dcterms:created>
  <dc:creator>松谷清</dc:creator>
  <dc:language>ja-JP</dc:language>
  <cp:lastModifiedBy>松谷清</cp:lastModifiedBy>
  <cp:lastPrinted>2016-06-23T04:14:00Z</cp:lastPrinted>
  <dcterms:modified xsi:type="dcterms:W3CDTF">2016-06-27T10:15:00Z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